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4AD" w:rsidRPr="0095719D" w:rsidRDefault="00BA24AD" w:rsidP="00345F0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:rsidR="00345F09" w:rsidRPr="0095719D" w:rsidRDefault="00345F09" w:rsidP="00345F0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95719D">
        <w:rPr>
          <w:rFonts w:ascii="Times New Roman" w:hAnsi="Times New Roman"/>
          <w:b/>
          <w:sz w:val="28"/>
          <w:szCs w:val="28"/>
        </w:rPr>
        <w:t xml:space="preserve">ДОГОВОР </w:t>
      </w:r>
      <w:r w:rsidR="0095719D" w:rsidRPr="0095719D">
        <w:rPr>
          <w:rFonts w:ascii="Times New Roman" w:hAnsi="Times New Roman"/>
          <w:b/>
          <w:bCs/>
          <w:sz w:val="28"/>
          <w:szCs w:val="28"/>
        </w:rPr>
        <w:t>BG16RFOP002-1.001-0525-C01</w:t>
      </w:r>
      <w:r w:rsidRPr="0095719D">
        <w:rPr>
          <w:rFonts w:ascii="Times New Roman" w:hAnsi="Times New Roman"/>
          <w:b/>
          <w:sz w:val="28"/>
          <w:szCs w:val="28"/>
        </w:rPr>
        <w:t>/Su-…</w:t>
      </w:r>
    </w:p>
    <w:p w:rsidR="00345F09" w:rsidRPr="0095719D" w:rsidRDefault="00345F09" w:rsidP="0095719D">
      <w:pPr>
        <w:jc w:val="center"/>
        <w:rPr>
          <w:rFonts w:ascii="Times New Roman" w:hAnsi="Times New Roman"/>
          <w:bCs/>
          <w:szCs w:val="24"/>
        </w:rPr>
      </w:pPr>
      <w:r w:rsidRPr="0095719D">
        <w:rPr>
          <w:rFonts w:ascii="Times New Roman" w:hAnsi="Times New Roman"/>
          <w:bCs/>
          <w:szCs w:val="24"/>
        </w:rPr>
        <w:t xml:space="preserve">за доставка на оборудване по проект: </w:t>
      </w:r>
      <w:r w:rsidR="0095719D" w:rsidRPr="0095719D">
        <w:rPr>
          <w:rFonts w:ascii="Times New Roman" w:hAnsi="Times New Roman"/>
          <w:bCs/>
          <w:szCs w:val="24"/>
        </w:rPr>
        <w:t>Внедряване на иновативен процес в „Е.МИРОЛИО</w:t>
      </w:r>
      <w:r w:rsidR="000F072A" w:rsidRPr="0095719D">
        <w:rPr>
          <w:rFonts w:ascii="Times New Roman" w:hAnsi="Times New Roman"/>
          <w:bCs/>
          <w:szCs w:val="24"/>
        </w:rPr>
        <w:t>“</w:t>
      </w:r>
      <w:r w:rsidR="0095719D" w:rsidRPr="0095719D">
        <w:rPr>
          <w:rFonts w:ascii="Times New Roman" w:hAnsi="Times New Roman"/>
          <w:bCs/>
          <w:szCs w:val="24"/>
        </w:rPr>
        <w:t xml:space="preserve"> ЕАД</w:t>
      </w:r>
    </w:p>
    <w:p w:rsidR="00345F09" w:rsidRPr="0095719D" w:rsidRDefault="00345F09" w:rsidP="00345F09">
      <w:pPr>
        <w:rPr>
          <w:rFonts w:ascii="Times New Roman" w:hAnsi="Times New Roman"/>
          <w:szCs w:val="24"/>
        </w:rPr>
      </w:pPr>
    </w:p>
    <w:p w:rsidR="00D73F23" w:rsidRPr="0095719D" w:rsidRDefault="00D73F23" w:rsidP="00345F09">
      <w:pPr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ind w:firstLine="708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Днес, ………………201</w:t>
      </w:r>
      <w:r w:rsidR="0095719D">
        <w:rPr>
          <w:rFonts w:ascii="Times New Roman" w:hAnsi="Times New Roman"/>
          <w:szCs w:val="24"/>
        </w:rPr>
        <w:t>7</w:t>
      </w:r>
      <w:r w:rsidRPr="0095719D">
        <w:rPr>
          <w:rFonts w:ascii="Times New Roman" w:hAnsi="Times New Roman"/>
          <w:szCs w:val="24"/>
        </w:rPr>
        <w:t xml:space="preserve"> година в гр. </w:t>
      </w:r>
      <w:r w:rsidR="0095719D">
        <w:rPr>
          <w:rFonts w:ascii="Times New Roman" w:hAnsi="Times New Roman"/>
          <w:szCs w:val="24"/>
        </w:rPr>
        <w:t>Сливен</w:t>
      </w:r>
      <w:r w:rsidRPr="0095719D">
        <w:rPr>
          <w:rFonts w:ascii="Times New Roman" w:hAnsi="Times New Roman"/>
          <w:szCs w:val="24"/>
        </w:rPr>
        <w:t xml:space="preserve"> между  </w:t>
      </w:r>
    </w:p>
    <w:p w:rsidR="00345F09" w:rsidRPr="0095719D" w:rsidRDefault="00345F09" w:rsidP="00345F09">
      <w:pPr>
        <w:rPr>
          <w:rFonts w:ascii="Times New Roman" w:hAnsi="Times New Roman"/>
          <w:szCs w:val="24"/>
        </w:rPr>
      </w:pPr>
    </w:p>
    <w:p w:rsidR="00015967" w:rsidRPr="0095719D" w:rsidRDefault="00015967" w:rsidP="00345F09">
      <w:pPr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  <w:r w:rsidRPr="0095719D">
        <w:rPr>
          <w:rFonts w:ascii="Times New Roman" w:hAnsi="Times New Roman"/>
          <w:b/>
          <w:szCs w:val="24"/>
        </w:rPr>
        <w:t>ВЪЗЛОЖИТЕЛЯ</w:t>
      </w:r>
    </w:p>
    <w:p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</w:p>
    <w:p w:rsidR="00345F09" w:rsidRPr="0095719D" w:rsidRDefault="009814EC" w:rsidP="00345F09">
      <w:p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bCs/>
          <w:szCs w:val="24"/>
        </w:rPr>
        <w:t>„Е.МИРОЛИО ЕАД“</w:t>
      </w:r>
      <w:r w:rsidR="00345F09" w:rsidRPr="0095719D">
        <w:rPr>
          <w:rFonts w:ascii="Times New Roman" w:hAnsi="Times New Roman"/>
          <w:szCs w:val="24"/>
        </w:rPr>
        <w:t xml:space="preserve">, гр. </w:t>
      </w:r>
      <w:r>
        <w:rPr>
          <w:rFonts w:ascii="Times New Roman" w:hAnsi="Times New Roman"/>
          <w:szCs w:val="24"/>
        </w:rPr>
        <w:t>Сливен</w:t>
      </w:r>
      <w:r w:rsidR="00345F09" w:rsidRPr="0095719D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И</w:t>
      </w:r>
      <w:r w:rsidRPr="009814EC">
        <w:rPr>
          <w:rFonts w:ascii="Times New Roman" w:hAnsi="Times New Roman" w:hint="eastAsia"/>
          <w:szCs w:val="24"/>
        </w:rPr>
        <w:t>ндустриална</w:t>
      </w:r>
      <w:r w:rsidRPr="009814EC">
        <w:rPr>
          <w:rFonts w:ascii="Times New Roman" w:hAnsi="Times New Roman"/>
          <w:szCs w:val="24"/>
        </w:rPr>
        <w:t xml:space="preserve"> </w:t>
      </w:r>
      <w:r w:rsidRPr="009814EC">
        <w:rPr>
          <w:rFonts w:ascii="Times New Roman" w:hAnsi="Times New Roman" w:hint="eastAsia"/>
          <w:szCs w:val="24"/>
        </w:rPr>
        <w:t>зона</w:t>
      </w:r>
      <w:r w:rsidR="00345F09" w:rsidRPr="0095719D">
        <w:rPr>
          <w:rFonts w:ascii="Times New Roman" w:hAnsi="Times New Roman"/>
          <w:szCs w:val="24"/>
        </w:rPr>
        <w:t>, ЕИК:</w:t>
      </w:r>
      <w:r w:rsidR="00345F09" w:rsidRPr="0095719D">
        <w:rPr>
          <w:rFonts w:ascii="Times New Roman" w:hAnsi="Times New Roman"/>
          <w:snapToGrid w:val="0"/>
        </w:rPr>
        <w:t xml:space="preserve"> </w:t>
      </w:r>
      <w:r w:rsidRPr="009814EC">
        <w:rPr>
          <w:rFonts w:ascii="Times New Roman" w:hAnsi="Times New Roman"/>
          <w:szCs w:val="24"/>
        </w:rPr>
        <w:t>119603547</w:t>
      </w:r>
      <w:r w:rsidR="00345F09" w:rsidRPr="0095719D">
        <w:rPr>
          <w:rFonts w:ascii="Times New Roman" w:hAnsi="Times New Roman"/>
          <w:szCs w:val="24"/>
        </w:rPr>
        <w:t xml:space="preserve">, представлявано от </w:t>
      </w:r>
      <w:r>
        <w:rPr>
          <w:rFonts w:ascii="Times New Roman" w:hAnsi="Times New Roman"/>
          <w:szCs w:val="24"/>
        </w:rPr>
        <w:t>изпълнителния директор Гаетано Римини</w:t>
      </w:r>
    </w:p>
    <w:p w:rsidR="00345F09" w:rsidRPr="0095719D" w:rsidRDefault="00345F09" w:rsidP="00345F09">
      <w:pPr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и</w:t>
      </w:r>
    </w:p>
    <w:p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</w:p>
    <w:p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  <w:r w:rsidRPr="0095719D">
        <w:rPr>
          <w:rFonts w:ascii="Times New Roman" w:hAnsi="Times New Roman"/>
          <w:b/>
          <w:szCs w:val="24"/>
        </w:rPr>
        <w:t>ИЗПЪЛНИТЕЛЯ</w:t>
      </w:r>
    </w:p>
    <w:p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</w:p>
    <w:p w:rsidR="00345F09" w:rsidRPr="0095719D" w:rsidRDefault="00345F09" w:rsidP="00345F09">
      <w:p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b/>
          <w:szCs w:val="24"/>
        </w:rPr>
        <w:t>…………………..</w:t>
      </w:r>
      <w:r w:rsidRPr="0095719D">
        <w:rPr>
          <w:rFonts w:ascii="Times New Roman" w:hAnsi="Times New Roman"/>
          <w:szCs w:val="24"/>
        </w:rPr>
        <w:t>, гр. ……., ул............................., ЕИК: ......................., представлявано от управителя ......................, се сключи настоящият договор за следното:</w:t>
      </w: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>1. ПРЕДМЕТ НА ДОГОВОРА</w:t>
      </w:r>
    </w:p>
    <w:p w:rsidR="00345F09" w:rsidRPr="0095719D" w:rsidRDefault="00345F09" w:rsidP="00345F09">
      <w:pPr>
        <w:numPr>
          <w:ilvl w:val="1"/>
          <w:numId w:val="3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Изпълнителят продава на Възложителя, а Възложителят се задължава да закупи:</w:t>
      </w:r>
    </w:p>
    <w:p w:rsidR="00345F09" w:rsidRPr="0095719D" w:rsidRDefault="00345F09" w:rsidP="00345F09">
      <w:p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b/>
          <w:szCs w:val="24"/>
        </w:rPr>
        <w:t xml:space="preserve"> ..................................................... - ... бр.</w:t>
      </w:r>
      <w:r w:rsidRPr="0095719D">
        <w:rPr>
          <w:rFonts w:ascii="Times New Roman" w:hAnsi="Times New Roman"/>
          <w:szCs w:val="24"/>
        </w:rPr>
        <w:t>,</w:t>
      </w:r>
    </w:p>
    <w:p w:rsidR="00345F09" w:rsidRPr="0095719D" w:rsidRDefault="00D73F23" w:rsidP="00345F09">
      <w:p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(„</w:t>
      </w:r>
      <w:r w:rsidR="00345F09" w:rsidRPr="0095719D">
        <w:rPr>
          <w:rFonts w:ascii="Times New Roman" w:hAnsi="Times New Roman"/>
          <w:szCs w:val="24"/>
        </w:rPr>
        <w:t>Оборудването”) в съответствие със сроковете и условията, съдържащи се в този договор (</w:t>
      </w:r>
      <w:r w:rsidRPr="0095719D">
        <w:rPr>
          <w:rFonts w:ascii="Times New Roman" w:hAnsi="Times New Roman"/>
          <w:szCs w:val="24"/>
        </w:rPr>
        <w:t>„</w:t>
      </w:r>
      <w:r w:rsidR="00345F09" w:rsidRPr="0095719D">
        <w:rPr>
          <w:rFonts w:ascii="Times New Roman" w:hAnsi="Times New Roman"/>
          <w:szCs w:val="24"/>
        </w:rPr>
        <w:t xml:space="preserve">Договор”). </w:t>
      </w:r>
    </w:p>
    <w:p w:rsidR="00345F09" w:rsidRPr="0095719D" w:rsidRDefault="00345F09" w:rsidP="00345F09">
      <w:pPr>
        <w:tabs>
          <w:tab w:val="left" w:pos="851"/>
        </w:tabs>
        <w:ind w:left="851"/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>2. ЦЕНА И НАЧИН НА ПЛАЩАНЕ</w:t>
      </w:r>
    </w:p>
    <w:p w:rsidR="00345F09" w:rsidRPr="0095719D" w:rsidRDefault="00345F09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Общата стойност на този Договор е </w:t>
      </w:r>
      <w:r w:rsidRPr="0095719D">
        <w:rPr>
          <w:rFonts w:ascii="Times New Roman" w:hAnsi="Times New Roman"/>
          <w:b/>
          <w:szCs w:val="24"/>
        </w:rPr>
        <w:t xml:space="preserve">......... лева без ДДС, </w:t>
      </w:r>
      <w:r w:rsidRPr="0095719D">
        <w:rPr>
          <w:rFonts w:ascii="Times New Roman" w:hAnsi="Times New Roman"/>
          <w:szCs w:val="24"/>
        </w:rPr>
        <w:t>съгласно Оферта на кандидата, която е неразделна част от настоящия Договор.</w:t>
      </w:r>
    </w:p>
    <w:p w:rsidR="00345F09" w:rsidRPr="0095719D" w:rsidRDefault="00345F09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Собствеността на Оборудването преминава върху Възложителя при пълното заплащане на цената. </w:t>
      </w:r>
    </w:p>
    <w:p w:rsidR="00E47CF1" w:rsidRPr="0095719D" w:rsidRDefault="00E47CF1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Заплащането се извършва в съответната валута,</w:t>
      </w:r>
      <w:r w:rsidR="008F5FC8" w:rsidRPr="0095719D">
        <w:rPr>
          <w:rFonts w:ascii="Times New Roman" w:hAnsi="Times New Roman"/>
          <w:szCs w:val="24"/>
        </w:rPr>
        <w:t xml:space="preserve"> </w:t>
      </w:r>
      <w:r w:rsidRPr="0095719D">
        <w:rPr>
          <w:rFonts w:ascii="Times New Roman" w:hAnsi="Times New Roman"/>
          <w:szCs w:val="24"/>
        </w:rPr>
        <w:t xml:space="preserve">посочена </w:t>
      </w:r>
      <w:r w:rsidR="00B4118B">
        <w:rPr>
          <w:rFonts w:ascii="Times New Roman" w:hAnsi="Times New Roman"/>
          <w:szCs w:val="24"/>
        </w:rPr>
        <w:t>от</w:t>
      </w:r>
      <w:r w:rsidRPr="0095719D">
        <w:rPr>
          <w:rFonts w:ascii="Times New Roman" w:hAnsi="Times New Roman"/>
          <w:szCs w:val="24"/>
        </w:rPr>
        <w:t xml:space="preserve"> изпълнителя,</w:t>
      </w:r>
      <w:r w:rsidR="008F5FC8" w:rsidRPr="0095719D">
        <w:rPr>
          <w:rFonts w:ascii="Times New Roman" w:hAnsi="Times New Roman"/>
          <w:szCs w:val="24"/>
        </w:rPr>
        <w:t xml:space="preserve"> </w:t>
      </w:r>
      <w:r w:rsidRPr="0095719D">
        <w:rPr>
          <w:rFonts w:ascii="Times New Roman" w:hAnsi="Times New Roman"/>
          <w:szCs w:val="24"/>
        </w:rPr>
        <w:t>по негова сметка</w:t>
      </w:r>
      <w:r w:rsidR="00345F09" w:rsidRPr="0095719D">
        <w:rPr>
          <w:rFonts w:ascii="Times New Roman" w:hAnsi="Times New Roman"/>
          <w:szCs w:val="24"/>
        </w:rPr>
        <w:t xml:space="preserve"> в .................................................................</w:t>
      </w:r>
    </w:p>
    <w:p w:rsidR="00345F09" w:rsidRPr="0095719D" w:rsidRDefault="00345F09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Условия и начин на плащане: </w:t>
      </w:r>
    </w:p>
    <w:p w:rsidR="002F2DFF" w:rsidRPr="0095719D" w:rsidRDefault="002F2DFF" w:rsidP="002F2DFF">
      <w:p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.................................................................</w:t>
      </w:r>
    </w:p>
    <w:p w:rsidR="00345F09" w:rsidRPr="0095719D" w:rsidRDefault="00345F09" w:rsidP="00345F09">
      <w:pPr>
        <w:tabs>
          <w:tab w:val="left" w:pos="851"/>
        </w:tabs>
        <w:suppressAutoHyphens/>
        <w:jc w:val="both"/>
        <w:rPr>
          <w:rFonts w:ascii="Times New Roman" w:hAnsi="Times New Roman"/>
          <w:b/>
        </w:rPr>
      </w:pPr>
    </w:p>
    <w:p w:rsidR="00345F09" w:rsidRPr="000257AB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3. ДОСТАВКА НА </w:t>
      </w:r>
      <w:r w:rsidRPr="000257AB">
        <w:rPr>
          <w:rFonts w:ascii="Times New Roman" w:hAnsi="Times New Roman"/>
          <w:szCs w:val="24"/>
          <w:u w:val="single"/>
        </w:rPr>
        <w:t>ОБОРУДВАНЕТО ОТ ИЗПЪЛНИТЕЛЯ</w:t>
      </w:r>
    </w:p>
    <w:p w:rsidR="00345F09" w:rsidRPr="000257AB" w:rsidRDefault="00345F09" w:rsidP="00D47E45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 w:rsidRPr="000257AB">
        <w:rPr>
          <w:rFonts w:ascii="Times New Roman" w:hAnsi="Times New Roman"/>
          <w:szCs w:val="24"/>
          <w:lang w:eastAsia="ar-SA"/>
        </w:rPr>
        <w:t xml:space="preserve">Оборудването следва да бъде доставено в срок ……., но не по-късно от крайния срок за изпълнение на договор за безвъзмездна помощ </w:t>
      </w:r>
      <w:r w:rsidR="008C2C35" w:rsidRPr="000257AB">
        <w:rPr>
          <w:rFonts w:ascii="Times New Roman" w:hAnsi="Times New Roman"/>
          <w:szCs w:val="24"/>
          <w:lang w:eastAsia="ar-SA"/>
        </w:rPr>
        <w:t>№</w:t>
      </w:r>
      <w:r w:rsidR="00D47E45" w:rsidRPr="000257AB">
        <w:rPr>
          <w:rFonts w:ascii="Times New Roman" w:hAnsi="Times New Roman"/>
          <w:szCs w:val="24"/>
          <w:lang w:eastAsia="ar-SA"/>
        </w:rPr>
        <w:t xml:space="preserve"> BG16RFOP002-1.001-0525-C01</w:t>
      </w:r>
    </w:p>
    <w:p w:rsidR="00345F09" w:rsidRPr="000257AB" w:rsidRDefault="00345F0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 w:rsidRPr="000257AB">
        <w:rPr>
          <w:rFonts w:ascii="Times New Roman" w:hAnsi="Times New Roman"/>
          <w:szCs w:val="24"/>
          <w:lang w:eastAsia="ar-SA"/>
        </w:rPr>
        <w:t>Всички рискове до момента на доставката са за сметка на Изпълнителя.</w:t>
      </w:r>
    </w:p>
    <w:p w:rsidR="00345F09" w:rsidRPr="000257AB" w:rsidRDefault="00345F0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 w:rsidRPr="000257AB">
        <w:rPr>
          <w:rFonts w:ascii="Times New Roman" w:hAnsi="Times New Roman"/>
          <w:szCs w:val="24"/>
          <w:lang w:eastAsia="ar-SA"/>
        </w:rPr>
        <w:t xml:space="preserve">Оборудването се монтира от технически лица на Изпълнителя. </w:t>
      </w:r>
    </w:p>
    <w:p w:rsidR="00345F09" w:rsidRPr="000257AB" w:rsidRDefault="00345F0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i/>
          <w:szCs w:val="24"/>
          <w:lang w:eastAsia="ar-SA"/>
        </w:rPr>
      </w:pPr>
      <w:r w:rsidRPr="000257AB">
        <w:rPr>
          <w:rFonts w:ascii="Times New Roman" w:hAnsi="Times New Roman"/>
          <w:szCs w:val="24"/>
          <w:lang w:eastAsia="ar-SA"/>
        </w:rPr>
        <w:t>Място на приемане на  доставката:</w:t>
      </w:r>
    </w:p>
    <w:p w:rsidR="00345F09" w:rsidRPr="000257AB" w:rsidRDefault="00345F09" w:rsidP="00345F09">
      <w:p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i/>
          <w:szCs w:val="24"/>
          <w:lang w:eastAsia="ar-SA"/>
        </w:rPr>
      </w:pPr>
      <w:r w:rsidRPr="000257AB">
        <w:rPr>
          <w:rFonts w:ascii="Times New Roman" w:hAnsi="Times New Roman"/>
          <w:b/>
          <w:lang w:eastAsia="ar-SA"/>
        </w:rPr>
        <w:tab/>
      </w:r>
      <w:r w:rsidR="0070202C" w:rsidRPr="000257AB">
        <w:rPr>
          <w:rFonts w:ascii="Times New Roman" w:hAnsi="Times New Roman"/>
          <w:bCs/>
          <w:szCs w:val="24"/>
        </w:rPr>
        <w:t>„Е.МИРОЛИО ЕАД“</w:t>
      </w:r>
    </w:p>
    <w:p w:rsidR="00345F09" w:rsidRPr="000257AB" w:rsidRDefault="00345F09" w:rsidP="00345F09">
      <w:p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val="en-US" w:eastAsia="ar-SA"/>
        </w:rPr>
      </w:pPr>
      <w:r w:rsidRPr="000257AB">
        <w:rPr>
          <w:rFonts w:ascii="Times New Roman" w:hAnsi="Times New Roman"/>
          <w:lang w:eastAsia="ar-SA"/>
        </w:rPr>
        <w:tab/>
        <w:t xml:space="preserve">Адрес: </w:t>
      </w:r>
      <w:r w:rsidR="0070202C" w:rsidRPr="000257AB">
        <w:rPr>
          <w:rFonts w:ascii="Times New Roman" w:hAnsi="Times New Roman"/>
          <w:lang w:eastAsia="ar-SA"/>
        </w:rPr>
        <w:t>гр. Сливен, Индустриална зона</w:t>
      </w:r>
      <w:r w:rsidR="000257AB">
        <w:rPr>
          <w:rFonts w:ascii="Times New Roman" w:hAnsi="Times New Roman"/>
          <w:lang w:eastAsia="ar-SA"/>
        </w:rPr>
        <w:t>, площадка Лана</w:t>
      </w:r>
      <w:bookmarkStart w:id="0" w:name="_GoBack"/>
      <w:bookmarkEnd w:id="0"/>
    </w:p>
    <w:p w:rsidR="00345F09" w:rsidRPr="0095719D" w:rsidRDefault="00345F0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 w:rsidRPr="000257AB">
        <w:rPr>
          <w:rFonts w:ascii="Times New Roman" w:hAnsi="Times New Roman"/>
          <w:szCs w:val="24"/>
          <w:lang w:eastAsia="ar-SA"/>
        </w:rPr>
        <w:t xml:space="preserve">Приемането на </w:t>
      </w:r>
      <w:r w:rsidR="00BA570B" w:rsidRPr="000257AB">
        <w:rPr>
          <w:rFonts w:ascii="Times New Roman" w:hAnsi="Times New Roman"/>
          <w:szCs w:val="24"/>
          <w:lang w:eastAsia="ar-SA"/>
        </w:rPr>
        <w:t>оборудването</w:t>
      </w:r>
      <w:r w:rsidRPr="000257AB">
        <w:rPr>
          <w:rFonts w:ascii="Times New Roman" w:hAnsi="Times New Roman"/>
          <w:szCs w:val="24"/>
          <w:lang w:eastAsia="ar-SA"/>
        </w:rPr>
        <w:t xml:space="preserve"> се извършва с подписване на приемо-предавателен протокол</w:t>
      </w:r>
      <w:r w:rsidRPr="0095719D">
        <w:rPr>
          <w:rFonts w:ascii="Times New Roman" w:hAnsi="Times New Roman"/>
          <w:szCs w:val="24"/>
          <w:lang w:eastAsia="ar-SA"/>
        </w:rPr>
        <w:t>.</w:t>
      </w:r>
    </w:p>
    <w:p w:rsidR="00775BAC" w:rsidRPr="0095719D" w:rsidRDefault="00775BAC" w:rsidP="00636362">
      <w:pPr>
        <w:tabs>
          <w:tab w:val="left" w:pos="851"/>
          <w:tab w:val="left" w:pos="1418"/>
        </w:tabs>
        <w:jc w:val="both"/>
        <w:rPr>
          <w:rFonts w:ascii="Times New Roman" w:hAnsi="Times New Roman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>4. ГАРАНЦИИ НА ИЗПЪЛНИТЕЛЯ</w:t>
      </w:r>
    </w:p>
    <w:p w:rsidR="00546F1E" w:rsidRPr="0095719D" w:rsidRDefault="00345F09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Изпълнителят е длъжен да предаде Оборудване с високо качество, без недостатъци в материалите и изработката</w:t>
      </w:r>
      <w:r w:rsidR="00BA570B" w:rsidRPr="0095719D">
        <w:rPr>
          <w:rFonts w:ascii="Times New Roman" w:hAnsi="Times New Roman"/>
          <w:szCs w:val="24"/>
        </w:rPr>
        <w:t>,</w:t>
      </w:r>
      <w:r w:rsidRPr="0095719D">
        <w:rPr>
          <w:rFonts w:ascii="Times New Roman" w:hAnsi="Times New Roman"/>
          <w:szCs w:val="24"/>
        </w:rPr>
        <w:t xml:space="preserve"> необременено с права на трети лица и от вида и с качество според спецификациите, посочени в Офертата на кандидата, която е неразделна част от настоящия Договор. Тази гаранция е в сила </w:t>
      </w:r>
      <w:r w:rsidR="00546F1E" w:rsidRPr="0095719D">
        <w:rPr>
          <w:rFonts w:ascii="Times New Roman" w:hAnsi="Times New Roman"/>
          <w:szCs w:val="24"/>
        </w:rPr>
        <w:t>както следва:</w:t>
      </w:r>
    </w:p>
    <w:p w:rsidR="00546F1E" w:rsidRPr="0095719D" w:rsidRDefault="00546F1E" w:rsidP="00546F1E">
      <w:pPr>
        <w:tabs>
          <w:tab w:val="num" w:pos="142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.................................................................</w:t>
      </w:r>
    </w:p>
    <w:p w:rsidR="00345F09" w:rsidRPr="0095719D" w:rsidRDefault="00345F09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В случаите, в които в гаранционния срок Оборудването прояви недостатъци или се окаже, че не отговаря на условията на този Договор, Изпълнителят е длъжен или да отстрани недостатъците, или да замени дефектните части за своя сметка във възможно най-кратките срокове. </w:t>
      </w:r>
    </w:p>
    <w:p w:rsidR="00345F09" w:rsidRPr="0095719D" w:rsidRDefault="00345F09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Всички транспортни и други разходи, свързани със заменянето на дефектните части или отстраняване на недостатъците са за сметка на Изпълнителя. </w:t>
      </w:r>
    </w:p>
    <w:p w:rsidR="00345F09" w:rsidRPr="0095719D" w:rsidRDefault="00345F09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Изпълнителят няма да носи отговорност по предявени срещу него искания и/или разходи в случаите, когато повреждането се дължи на грешка, небрежност, неправилна употреба или неправилна поддръжка от страна на работещите с Оборудването.</w:t>
      </w: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numPr>
          <w:ilvl w:val="0"/>
          <w:numId w:val="6"/>
        </w:numPr>
        <w:tabs>
          <w:tab w:val="left" w:pos="570"/>
          <w:tab w:val="left" w:pos="851"/>
          <w:tab w:val="left" w:pos="1418"/>
        </w:tabs>
        <w:suppressAutoHyphens/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ФОРСМАЖОРНИ ОБСТОЯТЕЛСТВА/ ПРЕКРАТЯВАНЕ НА ДОГОВОРА </w:t>
      </w:r>
    </w:p>
    <w:p w:rsidR="00345F09" w:rsidRPr="000257AB" w:rsidRDefault="00345F09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Няма да представлява нарушаване на настоящия Договор от страна на Изпълнителя неизпълнението </w:t>
      </w:r>
      <w:r w:rsidRPr="000257AB">
        <w:rPr>
          <w:rFonts w:ascii="Times New Roman" w:hAnsi="Times New Roman"/>
          <w:szCs w:val="24"/>
        </w:rPr>
        <w:t xml:space="preserve">на последния, когато то се дължи на обстоятелства, които не могат да му се вменят във вина като, но не само стачки, пожар, наводнение, природни стихии, бунтове, граждански размирици или земетресение. В тези случаи Изпълнителят няма да носи отговорност за каквито и да било вреди или претенции.  </w:t>
      </w:r>
    </w:p>
    <w:p w:rsidR="00345F09" w:rsidRPr="000257AB" w:rsidRDefault="00345F09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0257AB">
        <w:rPr>
          <w:rFonts w:ascii="Times New Roman" w:hAnsi="Times New Roman"/>
          <w:szCs w:val="24"/>
        </w:rPr>
        <w:t>Страните са длъжни да се уведомяват взаимно и незабавно не по-късно от 5 (пет) работни дни за всяко форсмажорно обстоятелство, като тези съобщения трябва да бъдат удостоверени от Българска Търговско-Промишлена Палата (БТПП). Ако форсмажорното обстоятелство пречи на доставянето на Оборудването и се очаква тези обстоятелства да продължат да действат повече от 1 (един) месец, Възложителят има право да прекрати Договора. В този случай всяка от страните ще поеме за своя сметка разходите, които е извършила във връзка с изпълнение на Договора до този момент, а продажната цена на Оборудването ще бъде възстановена на Възложителя в разумен срок.</w:t>
      </w:r>
    </w:p>
    <w:p w:rsidR="00345F09" w:rsidRPr="000257AB" w:rsidRDefault="00345F09" w:rsidP="00345F09">
      <w:pPr>
        <w:tabs>
          <w:tab w:val="left" w:pos="851"/>
        </w:tabs>
        <w:suppressAutoHyphens/>
        <w:jc w:val="both"/>
        <w:rPr>
          <w:rFonts w:ascii="Times New Roman" w:hAnsi="Times New Roman"/>
          <w:szCs w:val="24"/>
        </w:rPr>
      </w:pPr>
    </w:p>
    <w:p w:rsidR="00345F09" w:rsidRPr="000257AB" w:rsidRDefault="00345F09" w:rsidP="00345F09">
      <w:pPr>
        <w:tabs>
          <w:tab w:val="left" w:pos="851"/>
          <w:tab w:val="left" w:pos="1418"/>
        </w:tabs>
        <w:ind w:left="1418" w:hanging="1418"/>
        <w:jc w:val="both"/>
        <w:rPr>
          <w:rFonts w:ascii="Times New Roman" w:hAnsi="Times New Roman"/>
          <w:szCs w:val="24"/>
          <w:u w:val="single"/>
        </w:rPr>
      </w:pPr>
      <w:r w:rsidRPr="000257AB">
        <w:rPr>
          <w:rFonts w:ascii="Times New Roman" w:hAnsi="Times New Roman"/>
          <w:szCs w:val="24"/>
          <w:u w:val="single"/>
        </w:rPr>
        <w:t>6.  ПРЕКРАТЯВАНЕ НА ДОГОВОРА ОТ СТРАНА НА ВЪЗЛОЖИТЕЛЯ</w:t>
      </w:r>
    </w:p>
    <w:p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0257AB">
        <w:rPr>
          <w:rFonts w:ascii="Times New Roman" w:hAnsi="Times New Roman"/>
          <w:szCs w:val="24"/>
        </w:rPr>
        <w:t xml:space="preserve"> Възложителят има право да прекрати договора във всеки момент със седемдневно предизвестие до ИЗПЪЛНИТЕЛЯ</w:t>
      </w:r>
      <w:r w:rsidRPr="0095719D">
        <w:rPr>
          <w:rFonts w:ascii="Times New Roman" w:hAnsi="Times New Roman"/>
          <w:szCs w:val="24"/>
        </w:rPr>
        <w:t xml:space="preserve"> в следните случаи: 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а) когато Изпълнителят не изпълнява задълженията си по договора; 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б) когато Изпълнителят не изпълнява в приемлив срок писмено уведомление на Възложителя, изискващо да се поправи пропуск или неуспех да изпълни задълженията си по договора, в резултат на което сериозно се застрашава точното и навременно изпълнение на доставката;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в) когато Изпълнителят откаже или пренебрегне да изпълни писмено нареждане на Възложителя; 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г) когато Изпълнителят прехвърли правата и задълженията си по договора или сключи договор с под-доставчици без да е упълномощен от Възложителя;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д) в случай, че Изпълнителят изпадне в банкрут или бъде обявен от съда в несъстоятелност, или съдът постанови управление на имуществото му от синдик, или започне преговори с кредиторите си за обезпечаване на вземанията им, или извършва дейността си под контрола на синдик, попечител или управител, назначен в полза на кредиторите му, или бъде обявен в ликвидация; 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е) когато срещу Изпълнителя бъде постановено окончателно съдебно решение по дело за нарушения на професионалната етика; 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ж) в случай че Изпълнителят е виновен за сериозно професионално нарушение, доказано по какъвто и да било начин и доказуемо от страна на Възложителя; 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lastRenderedPageBreak/>
        <w:tab/>
        <w:t>з) когато Изпълнителят е с влязла в сила присъда (без право на обжалване) за измама или акт на корупция, участвал е в престъпна организация или във всякаква друга незаконна дейност, която накърнява финансовите интереси на Общността;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и) когато Изпълнителят е обвинен в сериозно нарушение на договора и неизпълнение на задълженията по договор по друга процедура за доставки или грантова схема, финансирана от бюджета на Общността;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й) в случай на организационна промяна, водеща до промяна на юридическото лице, характера или управлението или контрола на Изпълнителя, освен ако тази промяна не е отразена в договора чрез съответно допълнение към него (</w:t>
      </w:r>
      <w:r w:rsidR="001304EB" w:rsidRPr="0095719D">
        <w:rPr>
          <w:rFonts w:ascii="Times New Roman" w:hAnsi="Times New Roman"/>
          <w:szCs w:val="24"/>
        </w:rPr>
        <w:t>анекс</w:t>
      </w:r>
      <w:r w:rsidRPr="0095719D">
        <w:rPr>
          <w:rFonts w:ascii="Times New Roman" w:hAnsi="Times New Roman"/>
          <w:szCs w:val="24"/>
        </w:rPr>
        <w:t>);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к) всякаква друга законова невъзможност, възпрепятстваща изпълнението на договора; 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л) когато Изпълнителят не предостави изисканите гаранции или застраховки, или лицето, предоставило гаранции или застраховки по договора не е в състояние да изпълнява задълженията си;</w:t>
      </w:r>
    </w:p>
    <w:p w:rsidR="00345F09" w:rsidRPr="0095719D" w:rsidRDefault="00345F09" w:rsidP="001304EB">
      <w:pPr>
        <w:numPr>
          <w:ilvl w:val="1"/>
          <w:numId w:val="7"/>
        </w:numPr>
        <w:tabs>
          <w:tab w:val="clear" w:pos="792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 Прекратяването на договора не засяга други права на Изпълнителя и Възложителя по договора. Възложителят има право да сключи договор с трето лице за сметка на Изпълнителя. Изпълнителят не отговаря за забава при прекратяване на договора, без да се засяга отговорността на същото основание, която вече е възникнала. </w:t>
      </w:r>
    </w:p>
    <w:p w:rsidR="00345F09" w:rsidRPr="0095719D" w:rsidRDefault="001304EB" w:rsidP="001304EB">
      <w:pPr>
        <w:numPr>
          <w:ilvl w:val="1"/>
          <w:numId w:val="7"/>
        </w:numPr>
        <w:tabs>
          <w:tab w:val="clear" w:pos="792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 </w:t>
      </w:r>
      <w:r w:rsidR="00345F09" w:rsidRPr="0095719D">
        <w:rPr>
          <w:rFonts w:ascii="Times New Roman" w:hAnsi="Times New Roman"/>
          <w:szCs w:val="24"/>
        </w:rPr>
        <w:t xml:space="preserve">Възложителят е длъжен, предавайки известието за прекратяване на договора, да даде указания за вземане на спешни мерки от Изпълнителя за прекратяване на доставките и за ограничаване на разходите до минимум. </w:t>
      </w:r>
    </w:p>
    <w:p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При прекратяване на договора Възложителят е длъжен в максимално кратък срок в присъствието на Изпълнителя или негови представители да състави опис на извършените доставки и работа, както и на доставените и неупотребени материали. Възложителят е длъжен да състави и протокол за задълженията на двете страни към момента на прекратяване на договора. </w:t>
      </w:r>
    </w:p>
    <w:p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До завършване на доставките Възложителят не е обвързан с допълнителни плащания в полза на Изпълнителя, след което получава правото да предприеме действия за възстановяване от Изпълнителя на допълнителните разходи, които е направил във връзка с довършване на доставките, или да изплати остатъка от сумите, дължими на Изпълнителя към момента на прекратяване на договора.</w:t>
      </w:r>
    </w:p>
    <w:p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Договорът се прекратява автоматично, ако след подписване не се извърши плащане в рамките на три години. </w:t>
      </w: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>7. ПРЕКРАТЯВАНЕ НА ДОГОВОРА ОТ СТРАНА НА ИЗПЪЛНИТЕЛЯ</w:t>
      </w:r>
    </w:p>
    <w:p w:rsidR="00345F09" w:rsidRPr="0095719D" w:rsidRDefault="00345F09" w:rsidP="00345F09">
      <w:pPr>
        <w:numPr>
          <w:ilvl w:val="1"/>
          <w:numId w:val="8"/>
        </w:num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Изпълнителят има право да прекрати договора с четиринадесет дневно предизвестие, когато Възложителят: </w:t>
      </w:r>
    </w:p>
    <w:p w:rsidR="00345F09" w:rsidRPr="0095719D" w:rsidRDefault="00345F09" w:rsidP="00345F09">
      <w:p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а) не изплати на Изпълнителя сумите след изтичане на крайните срокове;</w:t>
      </w:r>
    </w:p>
    <w:p w:rsidR="00345F09" w:rsidRPr="0095719D" w:rsidRDefault="00345F09" w:rsidP="00345F09">
      <w:p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б) системно не изпълнява задълженията си по договора след неколкократни покани; или</w:t>
      </w:r>
    </w:p>
    <w:p w:rsidR="00345F09" w:rsidRPr="0095719D" w:rsidRDefault="00345F09" w:rsidP="00345F09">
      <w:p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в) когато Възложителят преустанови изцяло или частично изпълнението на договора за повече от 180 дни на основания, които не са записани в договора и не по причина на неизпълнение от страна на Изпълнителя. </w:t>
      </w:r>
    </w:p>
    <w:p w:rsidR="00345F09" w:rsidRPr="0095719D" w:rsidRDefault="00345F09" w:rsidP="00345F09">
      <w:pPr>
        <w:numPr>
          <w:ilvl w:val="1"/>
          <w:numId w:val="8"/>
        </w:num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Прекратяването на договора в този случай не засяга други права на Възложителя или Изпълнителя по договора.</w:t>
      </w:r>
    </w:p>
    <w:p w:rsidR="00345F09" w:rsidRPr="0095719D" w:rsidRDefault="00345F09" w:rsidP="00345F09">
      <w:pPr>
        <w:tabs>
          <w:tab w:val="left" w:pos="851"/>
          <w:tab w:val="left" w:pos="1418"/>
        </w:tabs>
        <w:ind w:left="1418" w:hanging="1418"/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ind w:left="1418" w:hanging="1418"/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>8. ПОДСЪДНОСТ И АРБИТРАЖ</w:t>
      </w:r>
    </w:p>
    <w:p w:rsidR="00345F09" w:rsidRPr="0095719D" w:rsidRDefault="00345F09" w:rsidP="00345F09">
      <w:pPr>
        <w:numPr>
          <w:ilvl w:val="1"/>
          <w:numId w:val="9"/>
        </w:numPr>
        <w:tabs>
          <w:tab w:val="num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Продажбата на Оборудването от Изпълнителя на Възложителя, предмет на този Договор, следва да се тълкува според законите и подзаконовите нормативни актове на Република България.</w:t>
      </w:r>
    </w:p>
    <w:p w:rsidR="00345F09" w:rsidRPr="0095719D" w:rsidRDefault="00345F09" w:rsidP="00345F09">
      <w:pPr>
        <w:numPr>
          <w:ilvl w:val="1"/>
          <w:numId w:val="9"/>
        </w:numPr>
        <w:tabs>
          <w:tab w:val="num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Всички спорове и различия, които могат да възникнат от настоящия Договор или във връзка с него, ще се разрешават по възможност чрез преговори между страните.</w:t>
      </w:r>
    </w:p>
    <w:p w:rsidR="00345F09" w:rsidRPr="0095719D" w:rsidRDefault="00345F09" w:rsidP="00345F09">
      <w:pPr>
        <w:numPr>
          <w:ilvl w:val="1"/>
          <w:numId w:val="9"/>
        </w:numPr>
        <w:tabs>
          <w:tab w:val="num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Ако страните не могат да разрешат спора, въпросът следва да бъде отнесен за разрешаване от Арбитражния съд при БТПП, съгласно неговия правилник.</w:t>
      </w: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lastRenderedPageBreak/>
        <w:t>9. ДОПЪЛНИТЕЛНИ РАЗПОРЕДБИ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§ 1 Страните по настоящия договор ще спазват изискванията за визуална идентификация, съгласно чл. 6 от Общите условия към финансираните по Оперативна програма </w:t>
      </w:r>
      <w:r w:rsidR="00187029" w:rsidRPr="0095719D">
        <w:rPr>
          <w:rFonts w:ascii="Times New Roman" w:hAnsi="Times New Roman"/>
          <w:szCs w:val="24"/>
        </w:rPr>
        <w:t>„Иновации и конкурентоспособност“ 2014-2020</w:t>
      </w:r>
      <w:r w:rsidRPr="0095719D">
        <w:rPr>
          <w:rFonts w:ascii="Times New Roman" w:hAnsi="Times New Roman"/>
          <w:szCs w:val="24"/>
        </w:rPr>
        <w:t xml:space="preserve"> договори за предоставяне на безвъзмездна финансова помощ.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2</w:t>
      </w:r>
      <w:r w:rsidRPr="0095719D">
        <w:rPr>
          <w:rFonts w:ascii="Times New Roman" w:hAnsi="Times New Roman"/>
          <w:szCs w:val="24"/>
        </w:rPr>
        <w:tab/>
        <w:t xml:space="preserve">Нито Изпълнителят, нито Възложителят могат да делегират, да отстъпват или да прехвърлят всички или някои от правата или задълженията си по този Договор. 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3</w:t>
      </w:r>
      <w:r w:rsidRPr="0095719D">
        <w:rPr>
          <w:rFonts w:ascii="Times New Roman" w:hAnsi="Times New Roman"/>
          <w:szCs w:val="24"/>
        </w:rPr>
        <w:tab/>
        <w:t xml:space="preserve">За да бъдат действителни, всички изменения и допълнения към настоящия Договор трябва да бъдат извършвани в писмена форма, подписана от Изпълнителя и Възложителя. 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4</w:t>
      </w:r>
      <w:r w:rsidRPr="0095719D">
        <w:rPr>
          <w:rFonts w:ascii="Times New Roman" w:hAnsi="Times New Roman"/>
          <w:szCs w:val="24"/>
        </w:rPr>
        <w:tab/>
        <w:t xml:space="preserve">Настоящият договор се изпълнява според разпоредбите на ПМС </w:t>
      </w:r>
      <w:r w:rsidR="00573913" w:rsidRPr="0095719D">
        <w:rPr>
          <w:rFonts w:ascii="Times New Roman" w:hAnsi="Times New Roman"/>
          <w:szCs w:val="24"/>
        </w:rPr>
        <w:t>160</w:t>
      </w:r>
      <w:r w:rsidRPr="0095719D">
        <w:rPr>
          <w:rFonts w:ascii="Times New Roman" w:hAnsi="Times New Roman"/>
          <w:szCs w:val="24"/>
        </w:rPr>
        <w:t xml:space="preserve"> от </w:t>
      </w:r>
      <w:r w:rsidR="00573913" w:rsidRPr="0095719D">
        <w:rPr>
          <w:rFonts w:ascii="Times New Roman" w:hAnsi="Times New Roman"/>
          <w:szCs w:val="24"/>
        </w:rPr>
        <w:t>1</w:t>
      </w:r>
      <w:r w:rsidRPr="0095719D">
        <w:rPr>
          <w:rFonts w:ascii="Times New Roman" w:hAnsi="Times New Roman"/>
          <w:szCs w:val="24"/>
        </w:rPr>
        <w:t xml:space="preserve"> </w:t>
      </w:r>
      <w:r w:rsidR="00573913" w:rsidRPr="0095719D">
        <w:rPr>
          <w:rFonts w:ascii="Times New Roman" w:hAnsi="Times New Roman"/>
          <w:szCs w:val="24"/>
        </w:rPr>
        <w:t>юли</w:t>
      </w:r>
      <w:r w:rsidRPr="0095719D">
        <w:rPr>
          <w:rFonts w:ascii="Times New Roman" w:hAnsi="Times New Roman"/>
          <w:szCs w:val="24"/>
        </w:rPr>
        <w:t xml:space="preserve"> 20</w:t>
      </w:r>
      <w:r w:rsidR="00897416" w:rsidRPr="0095719D">
        <w:rPr>
          <w:rFonts w:ascii="Times New Roman" w:hAnsi="Times New Roman"/>
          <w:szCs w:val="24"/>
        </w:rPr>
        <w:t>1</w:t>
      </w:r>
      <w:r w:rsidR="00573913" w:rsidRPr="0095719D">
        <w:rPr>
          <w:rFonts w:ascii="Times New Roman" w:hAnsi="Times New Roman"/>
          <w:szCs w:val="24"/>
        </w:rPr>
        <w:t>6</w:t>
      </w:r>
      <w:r w:rsidRPr="0095719D">
        <w:rPr>
          <w:rFonts w:ascii="Times New Roman" w:hAnsi="Times New Roman"/>
          <w:szCs w:val="24"/>
        </w:rPr>
        <w:t xml:space="preserve"> г. </w:t>
      </w:r>
      <w:r w:rsidR="007C7B5D" w:rsidRPr="0095719D">
        <w:rPr>
          <w:rFonts w:ascii="Times New Roman" w:hAnsi="Times New Roman"/>
          <w:szCs w:val="24"/>
        </w:rPr>
        <w:t xml:space="preserve">за </w:t>
      </w:r>
      <w:r w:rsidR="00573913" w:rsidRPr="0095719D">
        <w:rPr>
          <w:rFonts w:ascii="Times New Roman" w:hAnsi="Times New Roman"/>
          <w:szCs w:val="24"/>
        </w:rPr>
        <w:t>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="00664BCC" w:rsidRPr="0095719D">
        <w:rPr>
          <w:rFonts w:ascii="Times New Roman" w:hAnsi="Times New Roman"/>
          <w:szCs w:val="24"/>
        </w:rPr>
        <w:t xml:space="preserve"> и на ЗУСЕСИФ</w:t>
      </w:r>
    </w:p>
    <w:p w:rsidR="00345F09" w:rsidRPr="0095719D" w:rsidRDefault="00345F09" w:rsidP="00BA4B5D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5</w:t>
      </w:r>
      <w:r w:rsidRPr="0095719D">
        <w:rPr>
          <w:rFonts w:ascii="Times New Roman" w:hAnsi="Times New Roman"/>
          <w:szCs w:val="24"/>
        </w:rPr>
        <w:tab/>
        <w:t xml:space="preserve">ГДЕФК към МИ като </w:t>
      </w:r>
      <w:r w:rsidR="00664BCC" w:rsidRPr="0095719D">
        <w:rPr>
          <w:rFonts w:ascii="Times New Roman" w:hAnsi="Times New Roman"/>
          <w:szCs w:val="24"/>
        </w:rPr>
        <w:t>Управляващ</w:t>
      </w:r>
      <w:r w:rsidRPr="0095719D">
        <w:rPr>
          <w:rFonts w:ascii="Times New Roman" w:hAnsi="Times New Roman"/>
          <w:szCs w:val="24"/>
        </w:rPr>
        <w:t xml:space="preserve"> орган, предоставящ безвъзмездна финансова помощ по Проект</w:t>
      </w:r>
      <w:r w:rsidR="00175652" w:rsidRPr="0095719D">
        <w:rPr>
          <w:rFonts w:ascii="Times New Roman" w:hAnsi="Times New Roman"/>
          <w:szCs w:val="24"/>
        </w:rPr>
        <w:t xml:space="preserve"> </w:t>
      </w:r>
      <w:r w:rsidR="00BA4B5D" w:rsidRPr="0095719D">
        <w:rPr>
          <w:rFonts w:ascii="Times New Roman" w:hAnsi="Times New Roman"/>
          <w:szCs w:val="24"/>
        </w:rPr>
        <w:t>‘</w:t>
      </w:r>
      <w:r w:rsidR="006F7120" w:rsidRPr="006F7120">
        <w:rPr>
          <w:rFonts w:ascii="Times New Roman" w:hAnsi="Times New Roman" w:hint="eastAsia"/>
          <w:szCs w:val="24"/>
        </w:rPr>
        <w:t>Внедряване</w:t>
      </w:r>
      <w:r w:rsidR="006F7120" w:rsidRPr="006F7120">
        <w:rPr>
          <w:rFonts w:ascii="Times New Roman" w:hAnsi="Times New Roman"/>
          <w:szCs w:val="24"/>
        </w:rPr>
        <w:t xml:space="preserve"> </w:t>
      </w:r>
      <w:r w:rsidR="006F7120" w:rsidRPr="006F7120">
        <w:rPr>
          <w:rFonts w:ascii="Times New Roman" w:hAnsi="Times New Roman" w:hint="eastAsia"/>
          <w:szCs w:val="24"/>
        </w:rPr>
        <w:t>на</w:t>
      </w:r>
      <w:r w:rsidR="006F7120" w:rsidRPr="006F7120">
        <w:rPr>
          <w:rFonts w:ascii="Times New Roman" w:hAnsi="Times New Roman"/>
          <w:szCs w:val="24"/>
        </w:rPr>
        <w:t xml:space="preserve"> </w:t>
      </w:r>
      <w:r w:rsidR="006F7120" w:rsidRPr="006F7120">
        <w:rPr>
          <w:rFonts w:ascii="Times New Roman" w:hAnsi="Times New Roman" w:hint="eastAsia"/>
          <w:szCs w:val="24"/>
        </w:rPr>
        <w:t>иновативен</w:t>
      </w:r>
      <w:r w:rsidR="006F7120" w:rsidRPr="006F7120">
        <w:rPr>
          <w:rFonts w:ascii="Times New Roman" w:hAnsi="Times New Roman"/>
          <w:szCs w:val="24"/>
        </w:rPr>
        <w:t xml:space="preserve"> </w:t>
      </w:r>
      <w:r w:rsidR="006F7120" w:rsidRPr="006F7120">
        <w:rPr>
          <w:rFonts w:ascii="Times New Roman" w:hAnsi="Times New Roman" w:hint="eastAsia"/>
          <w:szCs w:val="24"/>
        </w:rPr>
        <w:t>процес</w:t>
      </w:r>
      <w:r w:rsidR="006F7120" w:rsidRPr="006F7120">
        <w:rPr>
          <w:rFonts w:ascii="Times New Roman" w:hAnsi="Times New Roman"/>
          <w:szCs w:val="24"/>
        </w:rPr>
        <w:t xml:space="preserve"> </w:t>
      </w:r>
      <w:r w:rsidR="006F7120" w:rsidRPr="006F7120">
        <w:rPr>
          <w:rFonts w:ascii="Times New Roman" w:hAnsi="Times New Roman" w:hint="eastAsia"/>
          <w:szCs w:val="24"/>
        </w:rPr>
        <w:t>в</w:t>
      </w:r>
      <w:r w:rsidR="006F7120">
        <w:rPr>
          <w:rFonts w:ascii="Times New Roman" w:hAnsi="Times New Roman"/>
          <w:szCs w:val="24"/>
        </w:rPr>
        <w:t xml:space="preserve"> „</w:t>
      </w:r>
      <w:r w:rsidR="006F7120" w:rsidRPr="006F7120">
        <w:rPr>
          <w:rFonts w:ascii="Times New Roman" w:hAnsi="Times New Roman" w:hint="eastAsia"/>
          <w:szCs w:val="24"/>
        </w:rPr>
        <w:t>Е</w:t>
      </w:r>
      <w:r w:rsidR="006F7120" w:rsidRPr="006F7120">
        <w:rPr>
          <w:rFonts w:ascii="Times New Roman" w:hAnsi="Times New Roman"/>
          <w:szCs w:val="24"/>
        </w:rPr>
        <w:t>.</w:t>
      </w:r>
      <w:r w:rsidR="006F7120" w:rsidRPr="006F7120">
        <w:rPr>
          <w:rFonts w:ascii="Times New Roman" w:hAnsi="Times New Roman" w:hint="eastAsia"/>
          <w:szCs w:val="24"/>
        </w:rPr>
        <w:t>МИРОЛИО</w:t>
      </w:r>
      <w:r w:rsidR="006F7120" w:rsidRPr="006F7120">
        <w:rPr>
          <w:rFonts w:ascii="Times New Roman" w:hAnsi="Times New Roman"/>
          <w:szCs w:val="24"/>
        </w:rPr>
        <w:t xml:space="preserve"> </w:t>
      </w:r>
      <w:r w:rsidR="006F7120" w:rsidRPr="006F7120">
        <w:rPr>
          <w:rFonts w:ascii="Times New Roman" w:hAnsi="Times New Roman" w:hint="eastAsia"/>
          <w:szCs w:val="24"/>
        </w:rPr>
        <w:t>ЕАД</w:t>
      </w:r>
      <w:r w:rsidR="006F7120">
        <w:rPr>
          <w:rFonts w:ascii="Times New Roman" w:hAnsi="Times New Roman"/>
          <w:szCs w:val="24"/>
        </w:rPr>
        <w:t>“</w:t>
      </w:r>
      <w:r w:rsidR="00BA4B5D" w:rsidRPr="0095719D">
        <w:rPr>
          <w:rFonts w:ascii="Times New Roman" w:hAnsi="Times New Roman"/>
          <w:szCs w:val="24"/>
        </w:rPr>
        <w:t>’</w:t>
      </w:r>
      <w:r w:rsidRPr="0095719D">
        <w:rPr>
          <w:rFonts w:ascii="Times New Roman" w:hAnsi="Times New Roman"/>
          <w:szCs w:val="24"/>
        </w:rPr>
        <w:t xml:space="preserve"> не е страна по настоящия договор и не носи отговорност за вреди от какъвто и да е характер, настъпили в следствие неизпълнение на настоящия договор.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6</w:t>
      </w:r>
      <w:r w:rsidRPr="0095719D">
        <w:rPr>
          <w:rFonts w:ascii="Times New Roman" w:hAnsi="Times New Roman"/>
          <w:szCs w:val="24"/>
        </w:rPr>
        <w:tab/>
        <w:t xml:space="preserve">Страните по настоящия договор се задължават да предприемат всички необходими мерки за избягване конфликти на интереси, както и да уведомят незабавно </w:t>
      </w:r>
      <w:r w:rsidR="00BA4B5D" w:rsidRPr="0095719D">
        <w:rPr>
          <w:rFonts w:ascii="Times New Roman" w:hAnsi="Times New Roman"/>
          <w:szCs w:val="24"/>
        </w:rPr>
        <w:t xml:space="preserve">Управляващия </w:t>
      </w:r>
      <w:r w:rsidRPr="0095719D">
        <w:rPr>
          <w:rFonts w:ascii="Times New Roman" w:hAnsi="Times New Roman"/>
          <w:szCs w:val="24"/>
        </w:rPr>
        <w:t>орган относно обстоятелство, което предизвиква или може да предизвика подобен конфликт.</w:t>
      </w:r>
    </w:p>
    <w:p w:rsidR="00E0305E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7</w:t>
      </w:r>
      <w:r w:rsidRPr="0095719D">
        <w:rPr>
          <w:rFonts w:ascii="Times New Roman" w:hAnsi="Times New Roman"/>
          <w:szCs w:val="24"/>
        </w:rPr>
        <w:tab/>
        <w:t>Конфликт на интереси е налице, когато за безпристрастното и обективно изпълнение на функциите по договора за безвъзмездна финансова помощ, на което и да е лице, може да възникне съмнение поради причини, свързани със семейството, емоционалния живот, политическата и националната принадлежност, икономически интереси или други общи интереси, които то има с друго лице</w:t>
      </w:r>
      <w:r w:rsidR="00E0305E" w:rsidRPr="0095719D">
        <w:rPr>
          <w:rFonts w:ascii="Calibri" w:eastAsia="Calibri" w:hAnsi="Calibri"/>
          <w:szCs w:val="24"/>
        </w:rPr>
        <w:t xml:space="preserve"> </w:t>
      </w:r>
      <w:r w:rsidR="00E0305E" w:rsidRPr="0095719D">
        <w:rPr>
          <w:rFonts w:ascii="Times New Roman" w:hAnsi="Times New Roman"/>
          <w:szCs w:val="24"/>
        </w:rPr>
        <w:t>по смисъла на член 57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Съвета, включително и:</w:t>
      </w:r>
    </w:p>
    <w:p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i) които и/или при които член на управителен или контролен орган, както и временно изпълняващ такава длъжност, включително прокурист или търговски пълномощник, е свързано лице по смисъла на § 1, т. 1 от допълнителната разпоредба на Закона за предотвратяване и установяване на конфликт на интереси с ръководителя на Управляващия орган или със служители на ръководна длъжност в Управляващия орган;</w:t>
      </w:r>
    </w:p>
    <w:p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ii) с които лице, на трудово или служебно правоотношение в Управляващия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съдружник, притежава дялове или акции или е управител или член на орган на управление или контрол;</w:t>
      </w:r>
    </w:p>
    <w:p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iii) ограниченията по т. ii се прилагат и за кандидатите, които са свързани с дружества, за които са налице обстоятелствата по предходната точка;</w:t>
      </w:r>
    </w:p>
    <w:p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iv) е лице или се представлява от лице, което е на трудово или служебно правоотношение в Управляващия орган до една година от прекратяване на правоотношението;</w:t>
      </w:r>
    </w:p>
    <w:p w:rsidR="00345F09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v) конфликт на интереси е налице и когато лицето, предоставящо консултантски услуги на кандидата, попада в случаите по т. i – iv.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8</w:t>
      </w:r>
      <w:r w:rsidRPr="0095719D">
        <w:rPr>
          <w:rFonts w:ascii="Times New Roman" w:hAnsi="Times New Roman"/>
          <w:szCs w:val="24"/>
        </w:rPr>
        <w:tab/>
        <w:t xml:space="preserve">Страните се задължават да запазят поверителността на всички предоставени документи, информация или други материали, свързани с Проекта, за срок от три години след приключването на оперативната програма в съответствие с чл. 89 (3) от Регламент на Съвета № 1083/ 2006. Правилото за поверителност не се отнася за Договарящия орган, </w:t>
      </w:r>
      <w:r w:rsidRPr="0095719D">
        <w:rPr>
          <w:rFonts w:ascii="Times New Roman" w:hAnsi="Times New Roman"/>
          <w:szCs w:val="24"/>
        </w:rPr>
        <w:lastRenderedPageBreak/>
        <w:t>лицата, упълномощени от него, Управляващият орган, Сертифициращия орган и Европейската комисия.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9</w:t>
      </w:r>
      <w:r w:rsidRPr="0095719D">
        <w:rPr>
          <w:rFonts w:ascii="Times New Roman" w:hAnsi="Times New Roman"/>
          <w:szCs w:val="24"/>
        </w:rPr>
        <w:tab/>
        <w:t>Изпълнителят може да разгласява при възможност факта, че Проектът се съфинансира от Европейския фонд за регионално развитие.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10.</w:t>
      </w:r>
      <w:r w:rsidR="00C97691" w:rsidRPr="0095719D">
        <w:rPr>
          <w:rFonts w:ascii="Times New Roman" w:hAnsi="Times New Roman"/>
          <w:szCs w:val="24"/>
        </w:rPr>
        <w:t xml:space="preserve"> </w:t>
      </w:r>
      <w:r w:rsidRPr="0095719D">
        <w:rPr>
          <w:rFonts w:ascii="Times New Roman" w:hAnsi="Times New Roman"/>
          <w:szCs w:val="24"/>
        </w:rPr>
        <w:t>Изпълнителят се задължава при поискване да предоставя на оторизираните национални и европейски одиторски и контролни органи в срок цялата необходима информация, отнасяща се до изпълнението на настоящия договор и да им оказва необходимото съдействие при извършването на одити, проверки и/или разследвания.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§ 11. Разпоредбите на чл. 1, 3, 4, 5, 6, 11.3б и 14 от Общите условия към договора за безвъзмездна финансова помощ по </w:t>
      </w:r>
      <w:r w:rsidR="00247417" w:rsidRPr="0095719D">
        <w:rPr>
          <w:rFonts w:ascii="Times New Roman" w:hAnsi="Times New Roman"/>
          <w:szCs w:val="24"/>
        </w:rPr>
        <w:t>Оперативна програма „Иновации и конкурентоспособност“ 2014-2020</w:t>
      </w:r>
      <w:r w:rsidRPr="0095719D">
        <w:rPr>
          <w:rFonts w:ascii="Times New Roman" w:hAnsi="Times New Roman"/>
          <w:szCs w:val="24"/>
        </w:rPr>
        <w:t xml:space="preserve"> (Приложение 2) важат и за страните по настоящия договор.</w:t>
      </w:r>
    </w:p>
    <w:p w:rsidR="00345F09" w:rsidRPr="0095719D" w:rsidRDefault="00345F09" w:rsidP="00345F09">
      <w:pPr>
        <w:tabs>
          <w:tab w:val="left" w:pos="851"/>
          <w:tab w:val="left" w:pos="1418"/>
        </w:tabs>
        <w:ind w:left="708"/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ind w:left="708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Приложения:</w:t>
      </w:r>
    </w:p>
    <w:p w:rsidR="00345F09" w:rsidRPr="0095719D" w:rsidRDefault="00345F09" w:rsidP="00345F09">
      <w:pPr>
        <w:numPr>
          <w:ilvl w:val="0"/>
          <w:numId w:val="12"/>
        </w:num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Оферта на кандидата</w:t>
      </w:r>
    </w:p>
    <w:p w:rsidR="00345F09" w:rsidRPr="0095719D" w:rsidRDefault="00345F09" w:rsidP="00345F09">
      <w:pPr>
        <w:numPr>
          <w:ilvl w:val="0"/>
          <w:numId w:val="12"/>
        </w:num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Общи условия към договора за безвъзмездна финансова помощ по ОП „</w:t>
      </w:r>
      <w:r w:rsidR="0068146D" w:rsidRPr="0095719D">
        <w:rPr>
          <w:rFonts w:ascii="Times New Roman" w:hAnsi="Times New Roman"/>
          <w:szCs w:val="24"/>
        </w:rPr>
        <w:t>Иновации и конкурентоспособност</w:t>
      </w:r>
      <w:r w:rsidRPr="0095719D">
        <w:rPr>
          <w:rFonts w:ascii="Times New Roman" w:hAnsi="Times New Roman"/>
          <w:szCs w:val="24"/>
        </w:rPr>
        <w:t xml:space="preserve">“ </w:t>
      </w:r>
      <w:r w:rsidR="0068146D" w:rsidRPr="0095719D">
        <w:rPr>
          <w:rFonts w:ascii="Times New Roman" w:hAnsi="Times New Roman"/>
          <w:szCs w:val="24"/>
        </w:rPr>
        <w:t>2014-2020</w:t>
      </w:r>
    </w:p>
    <w:p w:rsidR="00345F09" w:rsidRPr="0095719D" w:rsidRDefault="00345F09" w:rsidP="00345F09">
      <w:pPr>
        <w:ind w:left="1068"/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ind w:left="708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Този Договор се състави в два еднообразни екземпляра, като всеки от тях има еднаква сила.</w:t>
      </w:r>
    </w:p>
    <w:p w:rsidR="00345F09" w:rsidRPr="0095719D" w:rsidRDefault="00345F09" w:rsidP="00345F09">
      <w:pPr>
        <w:tabs>
          <w:tab w:val="left" w:pos="851"/>
          <w:tab w:val="left" w:pos="1418"/>
        </w:tabs>
        <w:ind w:left="708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2308"/>
        <w:gridCol w:w="1843"/>
        <w:gridCol w:w="2511"/>
      </w:tblGrid>
      <w:tr w:rsidR="00345F09" w:rsidRPr="0095719D" w:rsidTr="007320A5">
        <w:tc>
          <w:tcPr>
            <w:tcW w:w="4293" w:type="dxa"/>
            <w:gridSpan w:val="2"/>
          </w:tcPr>
          <w:p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b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b/>
                <w:szCs w:val="24"/>
                <w:lang w:eastAsia="ar-SA"/>
              </w:rPr>
              <w:t>За Изпълнителя</w:t>
            </w:r>
          </w:p>
        </w:tc>
        <w:tc>
          <w:tcPr>
            <w:tcW w:w="4354" w:type="dxa"/>
            <w:gridSpan w:val="2"/>
          </w:tcPr>
          <w:p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b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b/>
                <w:szCs w:val="24"/>
                <w:lang w:eastAsia="ar-SA"/>
              </w:rPr>
              <w:t>За Възложителя</w:t>
            </w:r>
          </w:p>
        </w:tc>
      </w:tr>
      <w:tr w:rsidR="00345F09" w:rsidRPr="0095719D" w:rsidTr="007320A5">
        <w:trPr>
          <w:cantSplit/>
        </w:trPr>
        <w:tc>
          <w:tcPr>
            <w:tcW w:w="1985" w:type="dxa"/>
          </w:tcPr>
          <w:p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szCs w:val="24"/>
                <w:lang w:eastAsia="ar-SA"/>
              </w:rPr>
              <w:t>Наименование:</w:t>
            </w:r>
          </w:p>
        </w:tc>
        <w:tc>
          <w:tcPr>
            <w:tcW w:w="2308" w:type="dxa"/>
          </w:tcPr>
          <w:p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szCs w:val="24"/>
                <w:lang w:eastAsia="ar-SA"/>
              </w:rPr>
              <w:t>Наименование:</w:t>
            </w:r>
          </w:p>
        </w:tc>
        <w:tc>
          <w:tcPr>
            <w:tcW w:w="2511" w:type="dxa"/>
          </w:tcPr>
          <w:p w:rsidR="00345F09" w:rsidRPr="0095719D" w:rsidRDefault="006F7120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eastAsia="ar-SA"/>
              </w:rPr>
              <w:t>Гаетано Римини</w:t>
            </w:r>
          </w:p>
        </w:tc>
      </w:tr>
      <w:tr w:rsidR="00345F09" w:rsidRPr="0095719D" w:rsidTr="007320A5">
        <w:trPr>
          <w:cantSplit/>
        </w:trPr>
        <w:tc>
          <w:tcPr>
            <w:tcW w:w="1985" w:type="dxa"/>
          </w:tcPr>
          <w:p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szCs w:val="24"/>
                <w:lang w:eastAsia="ar-SA"/>
              </w:rPr>
              <w:t>Качество:</w:t>
            </w:r>
          </w:p>
        </w:tc>
        <w:tc>
          <w:tcPr>
            <w:tcW w:w="2308" w:type="dxa"/>
          </w:tcPr>
          <w:p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szCs w:val="24"/>
                <w:lang w:eastAsia="ar-SA"/>
              </w:rPr>
              <w:t>Качество:</w:t>
            </w:r>
          </w:p>
        </w:tc>
        <w:tc>
          <w:tcPr>
            <w:tcW w:w="2511" w:type="dxa"/>
          </w:tcPr>
          <w:p w:rsidR="00345F09" w:rsidRPr="0095719D" w:rsidRDefault="006F7120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eastAsia="ar-SA"/>
              </w:rPr>
              <w:t>Изпълнителен директор</w:t>
            </w:r>
          </w:p>
        </w:tc>
      </w:tr>
      <w:tr w:rsidR="00345F09" w:rsidRPr="0095719D" w:rsidTr="007320A5">
        <w:trPr>
          <w:cantSplit/>
          <w:trHeight w:val="708"/>
        </w:trPr>
        <w:tc>
          <w:tcPr>
            <w:tcW w:w="1985" w:type="dxa"/>
          </w:tcPr>
          <w:p w:rsidR="00345F09" w:rsidRPr="0095719D" w:rsidRDefault="00345F09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szCs w:val="24"/>
                <w:lang w:eastAsia="ar-SA"/>
              </w:rPr>
              <w:t>Подпис:</w:t>
            </w:r>
          </w:p>
        </w:tc>
        <w:tc>
          <w:tcPr>
            <w:tcW w:w="2308" w:type="dxa"/>
          </w:tcPr>
          <w:p w:rsidR="00345F09" w:rsidRPr="0095719D" w:rsidRDefault="00345F09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345F09" w:rsidRPr="0095719D" w:rsidRDefault="00345F09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szCs w:val="24"/>
                <w:lang w:eastAsia="ar-SA"/>
              </w:rPr>
              <w:t>Подпис:</w:t>
            </w:r>
          </w:p>
        </w:tc>
        <w:tc>
          <w:tcPr>
            <w:tcW w:w="2511" w:type="dxa"/>
          </w:tcPr>
          <w:p w:rsidR="00345F09" w:rsidRPr="0095719D" w:rsidRDefault="00345F09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:rsidR="00CB37CB" w:rsidRPr="0095719D" w:rsidRDefault="00CB37CB" w:rsidP="0085768E"/>
    <w:sectPr w:rsidR="00CB37CB" w:rsidRPr="0095719D" w:rsidSect="007237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021" w:bottom="567" w:left="1021" w:header="301" w:footer="59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F7A" w:rsidRDefault="00F96F7A">
      <w:r>
        <w:separator/>
      </w:r>
    </w:p>
  </w:endnote>
  <w:endnote w:type="continuationSeparator" w:id="0">
    <w:p w:rsidR="00F96F7A" w:rsidRDefault="00F96F7A">
      <w:r>
        <w:continuationSeparator/>
      </w:r>
    </w:p>
  </w:endnote>
  <w:endnote w:type="continuationNotice" w:id="1">
    <w:p w:rsidR="00F96F7A" w:rsidRDefault="00F96F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57AB">
      <w:rPr>
        <w:rStyle w:val="PageNumber"/>
        <w:noProof/>
      </w:rPr>
      <w:t>2</w:t>
    </w:r>
    <w:r>
      <w:rPr>
        <w:rStyle w:val="PageNumber"/>
      </w:rPr>
      <w:fldChar w:fldCharType="end"/>
    </w:r>
  </w:p>
  <w:p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1B" w:rsidRPr="00F0031B" w:rsidRDefault="00F0031B" w:rsidP="00F0031B">
    <w:pPr>
      <w:pBdr>
        <w:bottom w:val="single" w:sz="6" w:space="1" w:color="auto"/>
      </w:pBd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</w:p>
  <w:p w:rsidR="00F0031B" w:rsidRPr="00F0031B" w:rsidRDefault="00F0031B" w:rsidP="00F0031B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  <w:r w:rsidRPr="00F0031B">
      <w:rPr>
        <w:rFonts w:ascii="Times New Roman" w:hAnsi="Times New Roman"/>
        <w:i/>
        <w:sz w:val="18"/>
        <w:szCs w:val="18"/>
        <w:lang w:eastAsia="bg-BG"/>
      </w:rPr>
      <w:t>Проект №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>BG16RFOP002-1.001-0525-C01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 “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Внедряване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на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иновативен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процес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в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„Е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>.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МИРОЛИО“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ЕАД</w:t>
    </w:r>
    <w:r w:rsidRPr="00F0031B">
      <w:rPr>
        <w:rFonts w:ascii="Times New Roman" w:hAnsi="Times New Roman"/>
        <w:i/>
        <w:sz w:val="18"/>
        <w:szCs w:val="18"/>
        <w:lang w:eastAsia="bg-BG"/>
      </w:rPr>
      <w:t>“, финансиран от Оперативна програма „Иновации и конкурентоспособност“, съфинансирана от ЕС чрез ЕФРР.</w:t>
    </w:r>
  </w:p>
  <w:p w:rsidR="00F0031B" w:rsidRPr="00F0031B" w:rsidRDefault="00F0031B" w:rsidP="00F0031B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val="en-US" w:eastAsia="bg-BG"/>
      </w:rPr>
    </w:pPr>
    <w:r w:rsidRPr="00F0031B">
      <w:rPr>
        <w:rFonts w:ascii="Times New Roman" w:hAnsi="Times New Roman"/>
        <w:i/>
        <w:sz w:val="18"/>
        <w:szCs w:val="18"/>
        <w:lang w:eastAsia="bg-BG"/>
      </w:rPr>
      <w:t xml:space="preserve">Този документ е създаден с финансовата подкрепа на ОП „Иновации и конкурентоспособност“ 2014-2020, съфинансирана от ЕС чрез ЕФРР. Цялата отговорност за съдържанието на документа се носи от </w:t>
    </w:r>
    <w:r w:rsidR="00DE7874" w:rsidRPr="000F072A">
      <w:rPr>
        <w:rFonts w:ascii="Times New Roman" w:hAnsi="Times New Roman" w:hint="eastAsia"/>
        <w:i/>
        <w:sz w:val="18"/>
        <w:szCs w:val="18"/>
        <w:lang w:eastAsia="bg-BG"/>
      </w:rPr>
      <w:t>„Е</w:t>
    </w:r>
    <w:r w:rsidR="00DE7874" w:rsidRPr="000F072A">
      <w:rPr>
        <w:rFonts w:ascii="Times New Roman" w:hAnsi="Times New Roman"/>
        <w:i/>
        <w:sz w:val="18"/>
        <w:szCs w:val="18"/>
        <w:lang w:eastAsia="bg-BG"/>
      </w:rPr>
      <w:t>.</w:t>
    </w:r>
    <w:r w:rsidR="00DE7874" w:rsidRPr="000F072A">
      <w:rPr>
        <w:rFonts w:ascii="Times New Roman" w:hAnsi="Times New Roman" w:hint="eastAsia"/>
        <w:i/>
        <w:sz w:val="18"/>
        <w:szCs w:val="18"/>
        <w:lang w:eastAsia="bg-BG"/>
      </w:rPr>
      <w:t>МИРОЛИО“</w:t>
    </w:r>
    <w:r w:rsidR="00DE7874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DE7874" w:rsidRPr="000F072A">
      <w:rPr>
        <w:rFonts w:ascii="Times New Roman" w:hAnsi="Times New Roman" w:hint="eastAsia"/>
        <w:i/>
        <w:sz w:val="18"/>
        <w:szCs w:val="18"/>
        <w:lang w:eastAsia="bg-BG"/>
      </w:rPr>
      <w:t>ЕАД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 и при никакви обстоятелства не може да се приема, че този документ отразява официалното становище на ЕС и УО.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F7A" w:rsidRDefault="00F96F7A">
      <w:r>
        <w:separator/>
      </w:r>
    </w:p>
  </w:footnote>
  <w:footnote w:type="continuationSeparator" w:id="0">
    <w:p w:rsidR="00F96F7A" w:rsidRDefault="00F96F7A">
      <w:r>
        <w:continuationSeparator/>
      </w:r>
    </w:p>
  </w:footnote>
  <w:footnote w:type="continuationNotice" w:id="1">
    <w:p w:rsidR="00F96F7A" w:rsidRDefault="00F96F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7CB" w:rsidRDefault="00CB37CB">
    <w:pPr>
      <w:pStyle w:val="Header"/>
      <w:rPr>
        <w:lang w:val="en-US"/>
      </w:rPr>
    </w:pPr>
  </w:p>
  <w:p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DF" w:rsidRPr="003711DF" w:rsidRDefault="000257AB" w:rsidP="003711DF">
    <w:pPr>
      <w:pBdr>
        <w:bottom w:val="single" w:sz="6" w:space="1" w:color="auto"/>
      </w:pBdr>
      <w:tabs>
        <w:tab w:val="center" w:pos="4536"/>
        <w:tab w:val="right" w:pos="9072"/>
      </w:tabs>
      <w:rPr>
        <w:szCs w:val="24"/>
        <w:lang w:val="en-GB" w:eastAsia="bg-BG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49" type="#_x0000_t75" style="position:absolute;margin-left:274.05pt;margin-top:-9.75pt;width:184.5pt;height:1in;z-index:-251658752;visibility:visible" wrapcoords="-88 0 -88 21375 21600 21375 21600 0 -88 0">
          <v:imagedata r:id="rId1" o:title=""/>
          <w10:wrap type="tight"/>
        </v:shape>
      </w:pict>
    </w:r>
    <w:r>
      <w:rPr>
        <w:noProof/>
        <w:szCs w:val="24"/>
        <w:lang w:eastAsia="bg-BG"/>
      </w:rPr>
      <w:pict w14:anchorId="1D6535BF">
        <v:shape id="Picture 6" o:spid="_x0000_i1025" type="#_x0000_t75" style="width:177.3pt;height:61.8pt;visibility:visible">
          <v:imagedata r:id="rId2" o:title=""/>
        </v:shape>
      </w:pict>
    </w:r>
    <w:r w:rsidR="003711DF">
      <w:rPr>
        <w:noProof/>
        <w:szCs w:val="24"/>
        <w:lang w:eastAsia="bg-BG"/>
      </w:rPr>
      <w:t xml:space="preserve">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1"/>
        </w:tabs>
        <w:ind w:left="1421" w:hanging="57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1">
    <w:nsid w:val="00000003"/>
    <w:multiLevelType w:val="multilevel"/>
    <w:tmpl w:val="94DEB104"/>
    <w:name w:val="WW8Num3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630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1"/>
        </w:tabs>
        <w:ind w:left="1421" w:hanging="57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1"/>
        </w:tabs>
        <w:ind w:left="1421" w:hanging="57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">
    <w:nsid w:val="19A62087"/>
    <w:multiLevelType w:val="multilevel"/>
    <w:tmpl w:val="CCC89B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6">
    <w:nsid w:val="4C163017"/>
    <w:multiLevelType w:val="hybridMultilevel"/>
    <w:tmpl w:val="0908D252"/>
    <w:lvl w:ilvl="0" w:tplc="C9A0BD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E86C98"/>
    <w:multiLevelType w:val="hybridMultilevel"/>
    <w:tmpl w:val="DCC044FA"/>
    <w:lvl w:ilvl="0" w:tplc="42E6C242">
      <w:start w:val="1"/>
      <w:numFmt w:val="bullet"/>
      <w:lvlText w:val="-"/>
      <w:lvlJc w:val="left"/>
      <w:pPr>
        <w:ind w:left="1781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25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1" w:hanging="360"/>
      </w:pPr>
      <w:rPr>
        <w:rFonts w:ascii="Wingdings" w:hAnsi="Wingdings" w:hint="default"/>
      </w:rPr>
    </w:lvl>
  </w:abstractNum>
  <w:abstractNum w:abstractNumId="8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9">
    <w:nsid w:val="7382058F"/>
    <w:multiLevelType w:val="multilevel"/>
    <w:tmpl w:val="4E64A3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7A0E2D25"/>
    <w:multiLevelType w:val="multilevel"/>
    <w:tmpl w:val="E66C7A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7F663C1C"/>
    <w:multiLevelType w:val="hybridMultilevel"/>
    <w:tmpl w:val="70BC5B16"/>
    <w:lvl w:ilvl="0" w:tplc="BC6612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9"/>
  </w:num>
  <w:num w:numId="10">
    <w:abstractNumId w:val="7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273C2"/>
    <w:rsid w:val="00012C31"/>
    <w:rsid w:val="00015967"/>
    <w:rsid w:val="00017E28"/>
    <w:rsid w:val="000257AB"/>
    <w:rsid w:val="000436EA"/>
    <w:rsid w:val="00050E6F"/>
    <w:rsid w:val="00056466"/>
    <w:rsid w:val="00076E90"/>
    <w:rsid w:val="000A4C17"/>
    <w:rsid w:val="000B7154"/>
    <w:rsid w:val="000D2B94"/>
    <w:rsid w:val="000E3B0B"/>
    <w:rsid w:val="000F072A"/>
    <w:rsid w:val="001304EB"/>
    <w:rsid w:val="00136E4B"/>
    <w:rsid w:val="0014781B"/>
    <w:rsid w:val="00175652"/>
    <w:rsid w:val="00187029"/>
    <w:rsid w:val="00190671"/>
    <w:rsid w:val="00193B42"/>
    <w:rsid w:val="001C1CBD"/>
    <w:rsid w:val="001C4CB8"/>
    <w:rsid w:val="001E1995"/>
    <w:rsid w:val="001E2B97"/>
    <w:rsid w:val="00200EA7"/>
    <w:rsid w:val="002448ED"/>
    <w:rsid w:val="00247417"/>
    <w:rsid w:val="0027017A"/>
    <w:rsid w:val="00291D79"/>
    <w:rsid w:val="0029305E"/>
    <w:rsid w:val="00295776"/>
    <w:rsid w:val="002962BF"/>
    <w:rsid w:val="002A721F"/>
    <w:rsid w:val="002B1596"/>
    <w:rsid w:val="002C7927"/>
    <w:rsid w:val="002E1D64"/>
    <w:rsid w:val="002F2DFF"/>
    <w:rsid w:val="00316ACB"/>
    <w:rsid w:val="00322694"/>
    <w:rsid w:val="003269AD"/>
    <w:rsid w:val="00343510"/>
    <w:rsid w:val="00345F09"/>
    <w:rsid w:val="003711DF"/>
    <w:rsid w:val="003764B5"/>
    <w:rsid w:val="003A5F3C"/>
    <w:rsid w:val="003D0CB7"/>
    <w:rsid w:val="003D7E19"/>
    <w:rsid w:val="00441176"/>
    <w:rsid w:val="004505FB"/>
    <w:rsid w:val="0046265B"/>
    <w:rsid w:val="00480C7D"/>
    <w:rsid w:val="00493CF0"/>
    <w:rsid w:val="004940FA"/>
    <w:rsid w:val="0049571C"/>
    <w:rsid w:val="00496C8D"/>
    <w:rsid w:val="004C164A"/>
    <w:rsid w:val="004C5C33"/>
    <w:rsid w:val="00523183"/>
    <w:rsid w:val="005258B3"/>
    <w:rsid w:val="00546F1E"/>
    <w:rsid w:val="005553D9"/>
    <w:rsid w:val="00573913"/>
    <w:rsid w:val="0059400D"/>
    <w:rsid w:val="005F3454"/>
    <w:rsid w:val="00601024"/>
    <w:rsid w:val="00611830"/>
    <w:rsid w:val="00623A1D"/>
    <w:rsid w:val="00634BC0"/>
    <w:rsid w:val="00636362"/>
    <w:rsid w:val="00646915"/>
    <w:rsid w:val="00663332"/>
    <w:rsid w:val="006635A8"/>
    <w:rsid w:val="00664BCC"/>
    <w:rsid w:val="0068146D"/>
    <w:rsid w:val="006D1001"/>
    <w:rsid w:val="006F48D4"/>
    <w:rsid w:val="006F7120"/>
    <w:rsid w:val="0070202C"/>
    <w:rsid w:val="00704D95"/>
    <w:rsid w:val="00716CA1"/>
    <w:rsid w:val="007237FD"/>
    <w:rsid w:val="007320A5"/>
    <w:rsid w:val="0074430C"/>
    <w:rsid w:val="00745838"/>
    <w:rsid w:val="00746B76"/>
    <w:rsid w:val="007708BF"/>
    <w:rsid w:val="00771641"/>
    <w:rsid w:val="00775BAC"/>
    <w:rsid w:val="00781B64"/>
    <w:rsid w:val="007A2805"/>
    <w:rsid w:val="007C4D60"/>
    <w:rsid w:val="007C56D6"/>
    <w:rsid w:val="007C7B5D"/>
    <w:rsid w:val="007D1BBF"/>
    <w:rsid w:val="007D4047"/>
    <w:rsid w:val="00827F72"/>
    <w:rsid w:val="00844D36"/>
    <w:rsid w:val="0085768E"/>
    <w:rsid w:val="00896DD3"/>
    <w:rsid w:val="00897416"/>
    <w:rsid w:val="008C2C35"/>
    <w:rsid w:val="008C46F5"/>
    <w:rsid w:val="008D2732"/>
    <w:rsid w:val="008D5200"/>
    <w:rsid w:val="008F5FC8"/>
    <w:rsid w:val="00916C21"/>
    <w:rsid w:val="009314F8"/>
    <w:rsid w:val="0095719D"/>
    <w:rsid w:val="00961002"/>
    <w:rsid w:val="009814EC"/>
    <w:rsid w:val="009A491F"/>
    <w:rsid w:val="009B7C98"/>
    <w:rsid w:val="00A05E7C"/>
    <w:rsid w:val="00A12FE6"/>
    <w:rsid w:val="00A20EA2"/>
    <w:rsid w:val="00A267DD"/>
    <w:rsid w:val="00A50A4C"/>
    <w:rsid w:val="00A72097"/>
    <w:rsid w:val="00A76301"/>
    <w:rsid w:val="00AB2487"/>
    <w:rsid w:val="00AC106C"/>
    <w:rsid w:val="00AC1545"/>
    <w:rsid w:val="00AC3243"/>
    <w:rsid w:val="00AC4C88"/>
    <w:rsid w:val="00AD57F4"/>
    <w:rsid w:val="00AE720B"/>
    <w:rsid w:val="00AF3F83"/>
    <w:rsid w:val="00B273C2"/>
    <w:rsid w:val="00B4118B"/>
    <w:rsid w:val="00B615BC"/>
    <w:rsid w:val="00B62C4C"/>
    <w:rsid w:val="00B84825"/>
    <w:rsid w:val="00B96481"/>
    <w:rsid w:val="00BA24AD"/>
    <w:rsid w:val="00BA2F6B"/>
    <w:rsid w:val="00BA4B5D"/>
    <w:rsid w:val="00BA570B"/>
    <w:rsid w:val="00BB4B4A"/>
    <w:rsid w:val="00BC4E92"/>
    <w:rsid w:val="00BD2B8C"/>
    <w:rsid w:val="00BD39EC"/>
    <w:rsid w:val="00BE7581"/>
    <w:rsid w:val="00BF444B"/>
    <w:rsid w:val="00C10F16"/>
    <w:rsid w:val="00C82D0B"/>
    <w:rsid w:val="00C842C1"/>
    <w:rsid w:val="00C84AE1"/>
    <w:rsid w:val="00C9339D"/>
    <w:rsid w:val="00C97691"/>
    <w:rsid w:val="00CA02DB"/>
    <w:rsid w:val="00CA1D9C"/>
    <w:rsid w:val="00CA3B5C"/>
    <w:rsid w:val="00CA77C3"/>
    <w:rsid w:val="00CB37CB"/>
    <w:rsid w:val="00CC6728"/>
    <w:rsid w:val="00CD2E11"/>
    <w:rsid w:val="00CD4226"/>
    <w:rsid w:val="00CF45B3"/>
    <w:rsid w:val="00D26E8B"/>
    <w:rsid w:val="00D47E45"/>
    <w:rsid w:val="00D73F23"/>
    <w:rsid w:val="00D9383D"/>
    <w:rsid w:val="00DE1008"/>
    <w:rsid w:val="00DE7874"/>
    <w:rsid w:val="00DF7BBB"/>
    <w:rsid w:val="00E0305E"/>
    <w:rsid w:val="00E177C8"/>
    <w:rsid w:val="00E25548"/>
    <w:rsid w:val="00E4260F"/>
    <w:rsid w:val="00E47CF1"/>
    <w:rsid w:val="00ED1B92"/>
    <w:rsid w:val="00ED42B2"/>
    <w:rsid w:val="00F0031B"/>
    <w:rsid w:val="00F12AFD"/>
    <w:rsid w:val="00F14429"/>
    <w:rsid w:val="00F34B56"/>
    <w:rsid w:val="00F34E30"/>
    <w:rsid w:val="00F42F85"/>
    <w:rsid w:val="00F439CD"/>
    <w:rsid w:val="00F52DA7"/>
    <w:rsid w:val="00F55AC0"/>
    <w:rsid w:val="00F622D8"/>
    <w:rsid w:val="00F671F6"/>
    <w:rsid w:val="00F73749"/>
    <w:rsid w:val="00F861E5"/>
    <w:rsid w:val="00F95992"/>
    <w:rsid w:val="00F96F7A"/>
    <w:rsid w:val="00FA2015"/>
    <w:rsid w:val="00FA2359"/>
    <w:rsid w:val="00FB73DF"/>
    <w:rsid w:val="00FD1E8B"/>
    <w:rsid w:val="00FE0542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0305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0305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8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42B60-3377-4F08-91CF-BEEA73BFD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2012</Words>
  <Characters>11473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/>
  <LinksUpToDate>false</LinksUpToDate>
  <CharactersWithSpaces>13459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Stanislav Vachkov</dc:creator>
  <cp:lastModifiedBy>Stanislav Vachkov</cp:lastModifiedBy>
  <cp:revision>6</cp:revision>
  <cp:lastPrinted>2011-03-29T12:47:00Z</cp:lastPrinted>
  <dcterms:created xsi:type="dcterms:W3CDTF">2016-02-16T09:39:00Z</dcterms:created>
  <dcterms:modified xsi:type="dcterms:W3CDTF">2017-10-09T13:55:00Z</dcterms:modified>
</cp:coreProperties>
</file>